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35E2" w14:textId="77777777" w:rsidR="00134D84" w:rsidRDefault="0052601E" w:rsidP="00134D84">
      <w:pPr>
        <w:pStyle w:val="Heading1"/>
        <w:spacing w:after="0"/>
        <w:ind w:right="-576"/>
        <w:jc w:val="both"/>
      </w:pPr>
      <w:r w:rsidRPr="00134D84">
        <w:t>Bible Study 8</w:t>
      </w:r>
      <w:r w:rsidR="00134D84">
        <w:t>4</w:t>
      </w:r>
    </w:p>
    <w:p w14:paraId="01526C92" w14:textId="0BB7E20A" w:rsidR="005618F1" w:rsidRDefault="00134D84" w:rsidP="00134D84">
      <w:pPr>
        <w:pStyle w:val="Heading1"/>
        <w:spacing w:after="0"/>
        <w:ind w:right="-576"/>
        <w:jc w:val="both"/>
      </w:pPr>
      <w:r>
        <w:t>July 5</w:t>
      </w:r>
      <w:r w:rsidRPr="00134D84">
        <w:rPr>
          <w:vertAlign w:val="superscript"/>
        </w:rPr>
        <w:t>th</w:t>
      </w:r>
      <w:r>
        <w:t>, 2023</w:t>
      </w:r>
    </w:p>
    <w:p w14:paraId="0BB46E10" w14:textId="50335C24" w:rsidR="0052601E" w:rsidRPr="00134D84" w:rsidRDefault="00134D84" w:rsidP="00134D84">
      <w:pPr>
        <w:ind w:right="-576"/>
        <w:jc w:val="both"/>
        <w:rPr>
          <w:rFonts w:ascii="Times New Roman" w:hAnsi="Times New Roman" w:cs="Times New Roman"/>
          <w:sz w:val="28"/>
          <w:szCs w:val="28"/>
        </w:rPr>
      </w:pPr>
      <w:r>
        <w:rPr>
          <w:rFonts w:ascii="Times New Roman" w:hAnsi="Times New Roman" w:cs="Times New Roman"/>
          <w:sz w:val="28"/>
          <w:szCs w:val="28"/>
        </w:rPr>
        <w:t xml:space="preserve">                                       </w:t>
      </w:r>
      <w:r w:rsidR="0052601E" w:rsidRPr="00134D84">
        <w:rPr>
          <w:rFonts w:ascii="Times New Roman" w:hAnsi="Times New Roman" w:cs="Times New Roman"/>
          <w:sz w:val="28"/>
          <w:szCs w:val="28"/>
        </w:rPr>
        <w:t>The Book of Common Prayer</w:t>
      </w:r>
      <w:r>
        <w:rPr>
          <w:rFonts w:ascii="Times New Roman" w:hAnsi="Times New Roman" w:cs="Times New Roman"/>
          <w:sz w:val="28"/>
          <w:szCs w:val="28"/>
        </w:rPr>
        <w:t xml:space="preserve"> (continued)</w:t>
      </w:r>
    </w:p>
    <w:p w14:paraId="23ED5013" w14:textId="5D62BAE0" w:rsidR="0052601E" w:rsidRPr="00134D84" w:rsidRDefault="0052601E"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 xml:space="preserve">The end of the Eucharistic sees the entire congregation </w:t>
      </w:r>
      <w:proofErr w:type="gramStart"/>
      <w:r w:rsidRPr="00134D84">
        <w:rPr>
          <w:rFonts w:ascii="Times New Roman" w:hAnsi="Times New Roman" w:cs="Times New Roman"/>
          <w:sz w:val="28"/>
          <w:szCs w:val="28"/>
        </w:rPr>
        <w:t>join together</w:t>
      </w:r>
      <w:proofErr w:type="gramEnd"/>
      <w:r w:rsidRPr="00134D84">
        <w:rPr>
          <w:rFonts w:ascii="Times New Roman" w:hAnsi="Times New Roman" w:cs="Times New Roman"/>
          <w:sz w:val="28"/>
          <w:szCs w:val="28"/>
        </w:rPr>
        <w:t xml:space="preserve"> ion the Lord’s Prayer. Officially the Service now enters what is called “The Communion.” Up to around 1920 people only received the Eucharist or Holy Communion several times per year. Frequent communion comes with a greater understanding of what is meant by Eucharist and the Lord’s supper.</w:t>
      </w:r>
    </w:p>
    <w:p w14:paraId="7F17E3EE" w14:textId="6732D098" w:rsidR="0052601E" w:rsidRPr="00134D84" w:rsidRDefault="0052601E"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Today the Eucharist or Communion is distributed in both kinds bread and wine. In the  BCP there is room for a variety of ways this can be done. Covid and the recent pandemic has forced churches to be creative in this regard.</w:t>
      </w:r>
    </w:p>
    <w:p w14:paraId="23793482" w14:textId="3A735963" w:rsidR="0052601E" w:rsidRPr="00134D84" w:rsidRDefault="00F11B4B"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“The Body of Christ, the Bread of Heaven.” Is said.</w:t>
      </w:r>
    </w:p>
    <w:p w14:paraId="7638FD3C" w14:textId="5597A3EC" w:rsidR="00F11B4B" w:rsidRPr="00134D84" w:rsidRDefault="00F11B4B"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Response:  “Amen.”</w:t>
      </w:r>
    </w:p>
    <w:p w14:paraId="35788162" w14:textId="28B5C4A0" w:rsidR="00F11B4B" w:rsidRPr="00134D84" w:rsidRDefault="00F11B4B"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“The Blood of Christ the Cup of Eternal salvation.”</w:t>
      </w:r>
    </w:p>
    <w:p w14:paraId="6044F06F" w14:textId="06368EB4" w:rsidR="00F11B4B" w:rsidRPr="00134D84" w:rsidRDefault="00F11B4B"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Response: “Amen</w:t>
      </w:r>
      <w:proofErr w:type="gramStart"/>
      <w:r w:rsidRPr="00134D84">
        <w:rPr>
          <w:rFonts w:ascii="Times New Roman" w:hAnsi="Times New Roman" w:cs="Times New Roman"/>
          <w:sz w:val="28"/>
          <w:szCs w:val="28"/>
        </w:rPr>
        <w:t>”.</w:t>
      </w:r>
      <w:proofErr w:type="gramEnd"/>
    </w:p>
    <w:p w14:paraId="760D5047" w14:textId="195552D6" w:rsidR="00F11B4B" w:rsidRPr="00134D84" w:rsidRDefault="00F11B4B"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Communion concludes with the Prayer of Thanksgiving.  “Eternal God, heavenly father….”</w:t>
      </w:r>
    </w:p>
    <w:p w14:paraId="7957889F" w14:textId="448B9ECD" w:rsidR="00F11B4B" w:rsidRPr="00134D84" w:rsidRDefault="00F11B4B"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Blessing and Dismissal phrase.</w:t>
      </w:r>
    </w:p>
    <w:p w14:paraId="3B580700" w14:textId="628C7A5C" w:rsidR="00F11B4B" w:rsidRPr="00134D84" w:rsidRDefault="00F11B4B"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 xml:space="preserve">After the Four Eucharistic Prayers there are a variety of Prefaces and Collects for all occasions. This includes 6 Prayers of the People. Ending on </w:t>
      </w:r>
      <w:proofErr w:type="spellStart"/>
      <w:r w:rsidRPr="00134D84">
        <w:rPr>
          <w:rFonts w:ascii="Times New Roman" w:hAnsi="Times New Roman" w:cs="Times New Roman"/>
          <w:sz w:val="28"/>
          <w:szCs w:val="28"/>
        </w:rPr>
        <w:t>pg</w:t>
      </w:r>
      <w:proofErr w:type="spellEnd"/>
      <w:r w:rsidRPr="00134D84">
        <w:rPr>
          <w:rFonts w:ascii="Times New Roman" w:hAnsi="Times New Roman" w:cs="Times New Roman"/>
          <w:sz w:val="28"/>
          <w:szCs w:val="28"/>
        </w:rPr>
        <w:t xml:space="preserve"> BCP 393.</w:t>
      </w:r>
    </w:p>
    <w:p w14:paraId="423EFC4E" w14:textId="09E0D5CB" w:rsidR="00F11B4B" w:rsidRPr="00134D84" w:rsidRDefault="00F11B4B"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Additional Directions can be found on page 406.</w:t>
      </w:r>
      <w:r w:rsidR="009014B5" w:rsidRPr="00134D84">
        <w:rPr>
          <w:rFonts w:ascii="Times New Roman" w:hAnsi="Times New Roman" w:cs="Times New Roman"/>
          <w:sz w:val="28"/>
          <w:szCs w:val="28"/>
        </w:rPr>
        <w:t xml:space="preserve"> This explains the rubrics for the Eucharist.</w:t>
      </w:r>
    </w:p>
    <w:p w14:paraId="41C72953" w14:textId="367EF31D" w:rsidR="009014B5" w:rsidRPr="00134D84" w:rsidRDefault="009014B5"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SACRAMENTS: forms for Reception; Baptism’ Confirmation and Weddings. These services have specific wordings; prayers; blessings in conformity  with  the Episcopal church.</w:t>
      </w:r>
    </w:p>
    <w:p w14:paraId="3F4169CA" w14:textId="1283649B" w:rsidR="009014B5" w:rsidRPr="00134D84" w:rsidRDefault="009014B5"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BCP 447  There is a Rite of reconciliation for a penitent. It can be used privately or by a congregation collectively.</w:t>
      </w:r>
    </w:p>
    <w:p w14:paraId="55B747C7" w14:textId="373B64F6" w:rsidR="009014B5" w:rsidRPr="00134D84" w:rsidRDefault="009014B5"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Most important are the Prayers for the Min</w:t>
      </w:r>
      <w:r w:rsidR="00584E00" w:rsidRPr="00134D84">
        <w:rPr>
          <w:rFonts w:ascii="Times New Roman" w:hAnsi="Times New Roman" w:cs="Times New Roman"/>
          <w:sz w:val="28"/>
          <w:szCs w:val="28"/>
        </w:rPr>
        <w:t>is</w:t>
      </w:r>
      <w:r w:rsidRPr="00134D84">
        <w:rPr>
          <w:rFonts w:ascii="Times New Roman" w:hAnsi="Times New Roman" w:cs="Times New Roman"/>
          <w:sz w:val="28"/>
          <w:szCs w:val="28"/>
        </w:rPr>
        <w:t>tration of the Sick on page BCP 453.</w:t>
      </w:r>
      <w:r w:rsidR="00584E00" w:rsidRPr="00134D84">
        <w:rPr>
          <w:rFonts w:ascii="Times New Roman" w:hAnsi="Times New Roman" w:cs="Times New Roman"/>
          <w:sz w:val="28"/>
          <w:szCs w:val="28"/>
        </w:rPr>
        <w:t xml:space="preserve"> We use this constantly for Pastoral Visits.</w:t>
      </w:r>
    </w:p>
    <w:p w14:paraId="7C9D0476" w14:textId="44FE6873" w:rsidR="00584E00" w:rsidRPr="00134D84" w:rsidRDefault="00584E00"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Ministration at the time of death BCP 462 includes Prayers at the Bedside; Vigil; Reception of the Body;  there is then  THE BURIAL: OF THE DEAD. There is a Rite One BCP 469 Rite two BCP 491.</w:t>
      </w:r>
    </w:p>
    <w:p w14:paraId="1D8CB3C6" w14:textId="5B086FA2" w:rsidR="00584E00" w:rsidRPr="00134D84" w:rsidRDefault="00584E00"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It concludes with THE COMMENDATION,  BCP 501 THE COMMITAL at the cemetery</w:t>
      </w:r>
      <w:r w:rsidR="00134D84">
        <w:rPr>
          <w:rFonts w:ascii="Times New Roman" w:hAnsi="Times New Roman" w:cs="Times New Roman"/>
          <w:sz w:val="28"/>
          <w:szCs w:val="28"/>
        </w:rPr>
        <w:t xml:space="preserve"> </w:t>
      </w:r>
      <w:r w:rsidRPr="00134D84">
        <w:rPr>
          <w:rFonts w:ascii="Times New Roman" w:hAnsi="Times New Roman" w:cs="Times New Roman"/>
          <w:sz w:val="28"/>
          <w:szCs w:val="28"/>
        </w:rPr>
        <w:t>BCP 512 THE ORDINATION OF A BISHOP. Followed by the Ordination of a priest. BCP 525</w:t>
      </w:r>
    </w:p>
    <w:p w14:paraId="6FA2CA11" w14:textId="02B55B61" w:rsidR="00584E00" w:rsidRPr="00134D84" w:rsidRDefault="00584E00" w:rsidP="00134D84">
      <w:pPr>
        <w:pStyle w:val="Heading2"/>
      </w:pPr>
      <w:r w:rsidRPr="00134D84">
        <w:t>Consecration of a Church. BCP 567</w:t>
      </w:r>
    </w:p>
    <w:p w14:paraId="027F5A41" w14:textId="60753C57" w:rsidR="00584E00" w:rsidRPr="00134D84" w:rsidRDefault="00584E00" w:rsidP="00134D84">
      <w:pPr>
        <w:ind w:right="-576"/>
        <w:jc w:val="both"/>
        <w:rPr>
          <w:rFonts w:ascii="Times New Roman" w:hAnsi="Times New Roman" w:cs="Times New Roman"/>
          <w:sz w:val="28"/>
          <w:szCs w:val="28"/>
        </w:rPr>
      </w:pPr>
      <w:r w:rsidRPr="00134D84">
        <w:rPr>
          <w:rFonts w:ascii="Times New Roman" w:hAnsi="Times New Roman" w:cs="Times New Roman"/>
          <w:sz w:val="28"/>
          <w:szCs w:val="28"/>
        </w:rPr>
        <w:t>THE PSALTER BCP 585.</w:t>
      </w:r>
    </w:p>
    <w:sectPr w:rsidR="00584E00" w:rsidRPr="00134D84" w:rsidSect="00921153">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1E"/>
    <w:rsid w:val="00134D84"/>
    <w:rsid w:val="0052601E"/>
    <w:rsid w:val="005618F1"/>
    <w:rsid w:val="00584E00"/>
    <w:rsid w:val="00604A83"/>
    <w:rsid w:val="006E04B8"/>
    <w:rsid w:val="009014B5"/>
    <w:rsid w:val="00921153"/>
    <w:rsid w:val="00F1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D08A"/>
  <w15:chartTrackingRefBased/>
  <w15:docId w15:val="{44E6F983-A992-473D-BEB4-46F3F09C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D84"/>
    <w:pPr>
      <w:keepNext/>
      <w:outlineLvl w:val="0"/>
    </w:pPr>
    <w:rPr>
      <w:rFonts w:ascii="Times New Roman" w:hAnsi="Times New Roman" w:cs="Times New Roman"/>
      <w:sz w:val="28"/>
      <w:szCs w:val="28"/>
    </w:rPr>
  </w:style>
  <w:style w:type="paragraph" w:styleId="Heading2">
    <w:name w:val="heading 2"/>
    <w:basedOn w:val="Normal"/>
    <w:next w:val="Normal"/>
    <w:link w:val="Heading2Char"/>
    <w:uiPriority w:val="9"/>
    <w:unhideWhenUsed/>
    <w:qFormat/>
    <w:rsid w:val="00134D84"/>
    <w:pPr>
      <w:keepNext/>
      <w:ind w:right="-576"/>
      <w:jc w:val="both"/>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D84"/>
    <w:rPr>
      <w:rFonts w:ascii="Times New Roman" w:hAnsi="Times New Roman" w:cs="Times New Roman"/>
      <w:sz w:val="28"/>
      <w:szCs w:val="28"/>
    </w:rPr>
  </w:style>
  <w:style w:type="character" w:customStyle="1" w:styleId="Heading2Char">
    <w:name w:val="Heading 2 Char"/>
    <w:basedOn w:val="DefaultParagraphFont"/>
    <w:link w:val="Heading2"/>
    <w:uiPriority w:val="9"/>
    <w:rsid w:val="00134D84"/>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3</cp:revision>
  <cp:lastPrinted>2023-07-04T16:06:00Z</cp:lastPrinted>
  <dcterms:created xsi:type="dcterms:W3CDTF">2023-07-04T16:02:00Z</dcterms:created>
  <dcterms:modified xsi:type="dcterms:W3CDTF">2023-07-04T16:06:00Z</dcterms:modified>
</cp:coreProperties>
</file>